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2" w:type="dxa"/>
        <w:tblCellMar>
          <w:left w:w="10" w:type="dxa"/>
          <w:right w:w="10" w:type="dxa"/>
        </w:tblCellMar>
        <w:tblLook w:val="04A0" w:firstRow="1" w:lastRow="0" w:firstColumn="1" w:lastColumn="0" w:noHBand="0" w:noVBand="1"/>
      </w:tblPr>
      <w:tblGrid>
        <w:gridCol w:w="9782"/>
      </w:tblGrid>
      <w:tr w:rsidR="007A641C" w:rsidTr="00E137C1">
        <w:tblPrEx>
          <w:tblCellMar>
            <w:top w:w="0" w:type="dxa"/>
            <w:bottom w:w="0" w:type="dxa"/>
          </w:tblCellMar>
        </w:tblPrEx>
        <w:tc>
          <w:tcPr>
            <w:tcW w:w="9782" w:type="dxa"/>
            <w:shd w:val="clear" w:color="auto" w:fill="auto"/>
            <w:tcMar>
              <w:top w:w="0" w:type="dxa"/>
              <w:left w:w="108" w:type="dxa"/>
              <w:bottom w:w="0" w:type="dxa"/>
              <w:right w:w="108" w:type="dxa"/>
            </w:tcMar>
          </w:tcPr>
          <w:tbl>
            <w:tblPr>
              <w:tblW w:w="9566" w:type="dxa"/>
              <w:jc w:val="center"/>
              <w:tblCellMar>
                <w:left w:w="10" w:type="dxa"/>
                <w:right w:w="10" w:type="dxa"/>
              </w:tblCellMar>
              <w:tblLook w:val="04A0" w:firstRow="1" w:lastRow="0" w:firstColumn="1" w:lastColumn="0" w:noHBand="0" w:noVBand="1"/>
            </w:tblPr>
            <w:tblGrid>
              <w:gridCol w:w="3188"/>
              <w:gridCol w:w="3189"/>
              <w:gridCol w:w="3189"/>
            </w:tblGrid>
            <w:tr w:rsidR="007A641C" w:rsidTr="00E137C1">
              <w:tblPrEx>
                <w:tblCellMar>
                  <w:top w:w="0" w:type="dxa"/>
                  <w:bottom w:w="0" w:type="dxa"/>
                </w:tblCellMar>
              </w:tblPrEx>
              <w:trPr>
                <w:trHeight w:val="1"/>
                <w:jc w:val="center"/>
              </w:trPr>
              <w:tc>
                <w:tcPr>
                  <w:tcW w:w="3188" w:type="dxa"/>
                  <w:shd w:val="clear" w:color="auto" w:fill="FFFFFF"/>
                  <w:tcMar>
                    <w:top w:w="0" w:type="dxa"/>
                    <w:left w:w="108" w:type="dxa"/>
                    <w:bottom w:w="0" w:type="dxa"/>
                    <w:right w:w="108" w:type="dxa"/>
                  </w:tcMar>
                  <w:vAlign w:val="center"/>
                </w:tcPr>
                <w:p w:rsidR="007A641C" w:rsidRDefault="007A641C" w:rsidP="00E137C1">
                  <w:pPr>
                    <w:autoSpaceDE w:val="0"/>
                    <w:jc w:val="center"/>
                    <w:rPr>
                      <w:sz w:val="20"/>
                      <w:szCs w:val="20"/>
                    </w:rPr>
                  </w:pPr>
                  <w:bookmarkStart w:id="0" w:name="_Hlk491769273"/>
                </w:p>
              </w:tc>
              <w:tc>
                <w:tcPr>
                  <w:tcW w:w="3189" w:type="dxa"/>
                  <w:shd w:val="clear" w:color="auto" w:fill="FFFFFF"/>
                  <w:tcMar>
                    <w:top w:w="0" w:type="dxa"/>
                    <w:left w:w="108" w:type="dxa"/>
                    <w:bottom w:w="0" w:type="dxa"/>
                    <w:right w:w="108" w:type="dxa"/>
                  </w:tcMar>
                  <w:vAlign w:val="center"/>
                </w:tcPr>
                <w:p w:rsidR="007A641C" w:rsidRDefault="007A641C" w:rsidP="00E137C1">
                  <w:pPr>
                    <w:autoSpaceDE w:val="0"/>
                    <w:jc w:val="center"/>
                    <w:rPr>
                      <w:sz w:val="20"/>
                      <w:szCs w:val="20"/>
                    </w:rPr>
                  </w:pPr>
                </w:p>
              </w:tc>
              <w:tc>
                <w:tcPr>
                  <w:tcW w:w="3189" w:type="dxa"/>
                  <w:shd w:val="clear" w:color="auto" w:fill="FFFFFF"/>
                  <w:tcMar>
                    <w:top w:w="0" w:type="dxa"/>
                    <w:left w:w="108" w:type="dxa"/>
                    <w:bottom w:w="0" w:type="dxa"/>
                    <w:right w:w="108" w:type="dxa"/>
                  </w:tcMar>
                  <w:vAlign w:val="center"/>
                </w:tcPr>
                <w:p w:rsidR="007A641C" w:rsidRDefault="007A641C" w:rsidP="00E137C1">
                  <w:pPr>
                    <w:autoSpaceDE w:val="0"/>
                    <w:jc w:val="center"/>
                    <w:rPr>
                      <w:sz w:val="20"/>
                      <w:szCs w:val="20"/>
                    </w:rPr>
                  </w:pPr>
                </w:p>
              </w:tc>
            </w:tr>
          </w:tbl>
          <w:p w:rsidR="007A641C" w:rsidRDefault="007A641C" w:rsidP="00E137C1">
            <w:pPr>
              <w:autoSpaceDE w:val="0"/>
              <w:jc w:val="center"/>
              <w:rPr>
                <w:b/>
                <w:bCs/>
                <w:sz w:val="36"/>
                <w:szCs w:val="36"/>
                <w:lang w:eastAsia="el-GR"/>
              </w:rPr>
            </w:pPr>
          </w:p>
          <w:p w:rsidR="007A641C" w:rsidRDefault="007A641C" w:rsidP="00E137C1">
            <w:pPr>
              <w:autoSpaceDE w:val="0"/>
              <w:jc w:val="center"/>
            </w:pPr>
            <w:r>
              <w:rPr>
                <w:b/>
                <w:bCs/>
                <w:noProof/>
                <w:sz w:val="36"/>
                <w:szCs w:val="36"/>
                <w:lang w:eastAsia="el-GR"/>
              </w:rPr>
              <w:drawing>
                <wp:inline distT="0" distB="0" distL="0" distR="0" wp14:anchorId="3CA7E166" wp14:editId="0F7ED33C">
                  <wp:extent cx="1229355" cy="1562737"/>
                  <wp:effectExtent l="0" t="0" r="8895" b="0"/>
                  <wp:docPr id="8"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1229355" cy="1562737"/>
                          </a:xfrm>
                          <a:prstGeom prst="rect">
                            <a:avLst/>
                          </a:prstGeom>
                          <a:noFill/>
                          <a:ln>
                            <a:noFill/>
                            <a:prstDash/>
                          </a:ln>
                        </pic:spPr>
                      </pic:pic>
                    </a:graphicData>
                  </a:graphic>
                </wp:inline>
              </w:drawing>
            </w:r>
            <w:r>
              <w:rPr>
                <w:b/>
                <w:bCs/>
                <w:sz w:val="36"/>
                <w:szCs w:val="36"/>
              </w:rPr>
              <w:t xml:space="preserve"> </w:t>
            </w:r>
          </w:p>
          <w:p w:rsidR="007A641C" w:rsidRDefault="007A641C" w:rsidP="00E137C1">
            <w:pPr>
              <w:autoSpaceDE w:val="0"/>
              <w:jc w:val="center"/>
              <w:rPr>
                <w:b/>
                <w:bCs/>
                <w:sz w:val="36"/>
                <w:szCs w:val="36"/>
              </w:rPr>
            </w:pPr>
            <w:r>
              <w:rPr>
                <w:b/>
                <w:bCs/>
                <w:sz w:val="36"/>
                <w:szCs w:val="36"/>
              </w:rPr>
              <w:t>ΔΗΜΟΣ ΠΟΡΟΥ</w:t>
            </w:r>
          </w:p>
          <w:p w:rsidR="007A641C" w:rsidRDefault="007A641C" w:rsidP="00E137C1">
            <w:pPr>
              <w:autoSpaceDE w:val="0"/>
              <w:jc w:val="center"/>
              <w:rPr>
                <w:b/>
                <w:bCs/>
                <w:sz w:val="36"/>
                <w:szCs w:val="36"/>
                <w:lang w:eastAsia="el-GR"/>
              </w:rPr>
            </w:pPr>
          </w:p>
        </w:tc>
      </w:tr>
      <w:tr w:rsidR="007A641C" w:rsidTr="00E137C1">
        <w:tblPrEx>
          <w:tblCellMar>
            <w:top w:w="0" w:type="dxa"/>
            <w:bottom w:w="0" w:type="dxa"/>
          </w:tblCellMar>
        </w:tblPrEx>
        <w:trPr>
          <w:trHeight w:val="3108"/>
        </w:trPr>
        <w:tc>
          <w:tcPr>
            <w:tcW w:w="9782" w:type="dxa"/>
            <w:shd w:val="clear" w:color="auto" w:fill="auto"/>
            <w:tcMar>
              <w:top w:w="0" w:type="dxa"/>
              <w:left w:w="108" w:type="dxa"/>
              <w:bottom w:w="0" w:type="dxa"/>
              <w:right w:w="108" w:type="dxa"/>
            </w:tcMar>
            <w:vAlign w:val="center"/>
          </w:tcPr>
          <w:p w:rsidR="007A641C" w:rsidRDefault="007A641C" w:rsidP="00E137C1">
            <w:pPr>
              <w:autoSpaceDE w:val="0"/>
              <w:spacing w:before="240" w:after="240" w:line="360" w:lineRule="auto"/>
              <w:jc w:val="center"/>
              <w:rPr>
                <w:b/>
                <w:bCs/>
                <w:sz w:val="28"/>
                <w:szCs w:val="28"/>
                <w:u w:val="single"/>
              </w:rPr>
            </w:pPr>
            <w:r>
              <w:rPr>
                <w:b/>
                <w:bCs/>
                <w:sz w:val="28"/>
                <w:szCs w:val="28"/>
                <w:u w:val="single"/>
              </w:rPr>
              <w:t>ΤΙΤΛΟΣ ΠΡΑΞΗΣ:</w:t>
            </w:r>
          </w:p>
          <w:p w:rsidR="007A641C" w:rsidRDefault="007A641C" w:rsidP="00E137C1">
            <w:pPr>
              <w:autoSpaceDE w:val="0"/>
              <w:jc w:val="center"/>
              <w:rPr>
                <w:b/>
                <w:bCs/>
                <w:sz w:val="40"/>
                <w:szCs w:val="40"/>
              </w:rPr>
            </w:pPr>
            <w:r>
              <w:rPr>
                <w:b/>
                <w:bCs/>
                <w:sz w:val="40"/>
                <w:szCs w:val="40"/>
              </w:rPr>
              <w:t>«ΠΡΟΜΗΘΕΙΑ ΚΛΙΜΑΤΙΣΤΙΚΩΝ ΓΙΑ ΤΙΣ ΑΝΑΓΚΕΣ</w:t>
            </w:r>
          </w:p>
          <w:p w:rsidR="007A641C" w:rsidRDefault="007A641C" w:rsidP="00E137C1">
            <w:pPr>
              <w:autoSpaceDE w:val="0"/>
              <w:jc w:val="center"/>
            </w:pPr>
            <w:r>
              <w:rPr>
                <w:b/>
                <w:bCs/>
                <w:sz w:val="40"/>
                <w:szCs w:val="40"/>
              </w:rPr>
              <w:t>ΤΩΝ ΚΟΙΝΩΝΙΚΩΝ ΥΠΟΔΟΜΩΝ ΔΗΜΟΥ ΠΟΡΟΥ»</w:t>
            </w:r>
          </w:p>
        </w:tc>
      </w:tr>
      <w:tr w:rsidR="007A641C" w:rsidTr="00E137C1">
        <w:tblPrEx>
          <w:tblCellMar>
            <w:top w:w="0" w:type="dxa"/>
            <w:bottom w:w="0" w:type="dxa"/>
          </w:tblCellMar>
        </w:tblPrEx>
        <w:tc>
          <w:tcPr>
            <w:tcW w:w="9782" w:type="dxa"/>
            <w:shd w:val="clear" w:color="auto" w:fill="auto"/>
            <w:tcMar>
              <w:top w:w="0" w:type="dxa"/>
              <w:left w:w="108" w:type="dxa"/>
              <w:bottom w:w="0" w:type="dxa"/>
              <w:right w:w="108" w:type="dxa"/>
            </w:tcMar>
          </w:tcPr>
          <w:p w:rsidR="007A641C" w:rsidRDefault="007A641C" w:rsidP="00E137C1">
            <w:pPr>
              <w:autoSpaceDE w:val="0"/>
              <w:spacing w:after="240" w:line="360" w:lineRule="auto"/>
              <w:jc w:val="center"/>
              <w:rPr>
                <w:b/>
                <w:bCs/>
                <w:sz w:val="40"/>
                <w:szCs w:val="40"/>
              </w:rPr>
            </w:pPr>
          </w:p>
          <w:p w:rsidR="007A641C" w:rsidRDefault="007A641C" w:rsidP="00E137C1">
            <w:pPr>
              <w:jc w:val="center"/>
            </w:pPr>
            <w:r>
              <w:rPr>
                <w:b/>
                <w:bCs/>
                <w:sz w:val="40"/>
                <w:szCs w:val="40"/>
              </w:rPr>
              <w:t>ΕΝΤΥΠΟ ΟΙΚΟΝΟΜΙΚΗΣ ΠΡΟΣΦΟΡΑΣ</w:t>
            </w:r>
          </w:p>
          <w:p w:rsidR="007A641C" w:rsidRDefault="007A641C" w:rsidP="00E137C1">
            <w:pPr>
              <w:autoSpaceDE w:val="0"/>
              <w:spacing w:after="240" w:line="360" w:lineRule="auto"/>
              <w:jc w:val="center"/>
              <w:rPr>
                <w:b/>
                <w:bCs/>
                <w:sz w:val="40"/>
                <w:szCs w:val="40"/>
              </w:rPr>
            </w:pPr>
          </w:p>
          <w:p w:rsidR="007A641C" w:rsidRDefault="007A641C" w:rsidP="00E137C1">
            <w:pPr>
              <w:autoSpaceDE w:val="0"/>
              <w:spacing w:after="240" w:line="360" w:lineRule="auto"/>
              <w:jc w:val="center"/>
              <w:rPr>
                <w:b/>
                <w:bCs/>
                <w:sz w:val="40"/>
                <w:szCs w:val="40"/>
              </w:rPr>
            </w:pPr>
            <w:bookmarkStart w:id="1" w:name="_GoBack"/>
            <w:bookmarkEnd w:id="1"/>
          </w:p>
        </w:tc>
      </w:tr>
      <w:tr w:rsidR="007A641C" w:rsidTr="00E137C1">
        <w:tblPrEx>
          <w:tblCellMar>
            <w:top w:w="0" w:type="dxa"/>
            <w:bottom w:w="0" w:type="dxa"/>
          </w:tblCellMar>
        </w:tblPrEx>
        <w:tc>
          <w:tcPr>
            <w:tcW w:w="9782" w:type="dxa"/>
            <w:shd w:val="clear" w:color="auto" w:fill="auto"/>
            <w:tcMar>
              <w:top w:w="0" w:type="dxa"/>
              <w:left w:w="108" w:type="dxa"/>
              <w:bottom w:w="0" w:type="dxa"/>
              <w:right w:w="108" w:type="dxa"/>
            </w:tcMar>
          </w:tcPr>
          <w:p w:rsidR="007A641C" w:rsidRDefault="007A641C" w:rsidP="00E137C1">
            <w:pPr>
              <w:jc w:val="center"/>
              <w:rPr>
                <w:b/>
                <w:bCs/>
                <w:sz w:val="28"/>
                <w:szCs w:val="28"/>
              </w:rPr>
            </w:pPr>
          </w:p>
          <w:p w:rsidR="007A641C" w:rsidRDefault="007A641C" w:rsidP="00E137C1">
            <w:pPr>
              <w:jc w:val="center"/>
              <w:rPr>
                <w:b/>
                <w:bCs/>
                <w:sz w:val="28"/>
                <w:szCs w:val="28"/>
              </w:rPr>
            </w:pPr>
          </w:p>
          <w:p w:rsidR="007A641C" w:rsidRDefault="007A641C" w:rsidP="00E137C1">
            <w:pPr>
              <w:rPr>
                <w:b/>
                <w:bCs/>
                <w:sz w:val="28"/>
                <w:szCs w:val="28"/>
              </w:rPr>
            </w:pPr>
          </w:p>
        </w:tc>
      </w:tr>
    </w:tbl>
    <w:bookmarkEnd w:id="0"/>
    <w:p w:rsidR="007A641C" w:rsidRDefault="007A641C" w:rsidP="007A641C">
      <w:pPr>
        <w:spacing w:after="240"/>
        <w:ind w:right="-8"/>
        <w:jc w:val="center"/>
        <w:rPr>
          <w:rFonts w:cs="Calibri"/>
          <w:b/>
          <w:sz w:val="32"/>
          <w:szCs w:val="32"/>
          <w:u w:val="single"/>
        </w:rPr>
      </w:pPr>
      <w:r>
        <w:rPr>
          <w:rFonts w:cs="Calibri"/>
          <w:b/>
          <w:sz w:val="32"/>
          <w:szCs w:val="32"/>
          <w:u w:val="single"/>
        </w:rPr>
        <w:lastRenderedPageBreak/>
        <w:t xml:space="preserve">ΕΝΤΥΠΟ ΟΙΚΟΝΟΜΙΚΗΣ ΠΡΟΣΦΟΡΑΣ </w:t>
      </w:r>
    </w:p>
    <w:p w:rsidR="007A641C" w:rsidRDefault="007A641C" w:rsidP="007A641C">
      <w:pPr>
        <w:spacing w:line="360" w:lineRule="auto"/>
        <w:jc w:val="both"/>
        <w:rPr>
          <w:rFonts w:ascii="Arial" w:hAnsi="Arial"/>
          <w:b/>
          <w:u w:val="single"/>
        </w:rPr>
      </w:pPr>
      <w:bookmarkStart w:id="2" w:name="OLE_LINK1"/>
      <w:r>
        <w:rPr>
          <w:rFonts w:ascii="Arial" w:hAnsi="Arial"/>
          <w:b/>
          <w:u w:val="single"/>
        </w:rPr>
        <w:t>Γενικοί όροι Τιμολογίου- Προϋπολογισμού</w:t>
      </w:r>
    </w:p>
    <w:p w:rsidR="007A641C" w:rsidRDefault="007A641C" w:rsidP="007A641C">
      <w:pPr>
        <w:spacing w:line="360" w:lineRule="auto"/>
        <w:jc w:val="both"/>
        <w:rPr>
          <w:rFonts w:ascii="Arial" w:hAnsi="Arial"/>
          <w:b/>
        </w:rPr>
      </w:pPr>
    </w:p>
    <w:p w:rsidR="007A641C" w:rsidRDefault="007A641C" w:rsidP="007A641C">
      <w:pPr>
        <w:spacing w:line="360" w:lineRule="auto"/>
        <w:ind w:left="709" w:hanging="284"/>
        <w:jc w:val="both"/>
      </w:pPr>
      <w:r>
        <w:rPr>
          <w:rFonts w:ascii="Arial" w:hAnsi="Arial"/>
          <w:b/>
        </w:rPr>
        <w:t>1.</w:t>
      </w:r>
      <w:r>
        <w:rPr>
          <w:rFonts w:ascii="Arial" w:hAnsi="Arial"/>
          <w:b/>
        </w:rPr>
        <w:tab/>
      </w:r>
      <w:r>
        <w:rPr>
          <w:rFonts w:ascii="Arial" w:hAnsi="Arial"/>
        </w:rPr>
        <w:t>Όλες οι προμήθειες, εγκαταστάσεις και λοιπές υπηρεσίες που προσφέρονται με το παρόν τιμολόγιο καλύπτουν σε όλα τους τα σημεία, τις απαιτήσεις των τευχών δημοπράτησης.</w:t>
      </w:r>
    </w:p>
    <w:p w:rsidR="007A641C" w:rsidRDefault="007A641C" w:rsidP="007A641C">
      <w:pPr>
        <w:widowControl/>
        <w:numPr>
          <w:ilvl w:val="0"/>
          <w:numId w:val="2"/>
        </w:numPr>
        <w:suppressAutoHyphens w:val="0"/>
        <w:spacing w:after="0" w:line="360" w:lineRule="auto"/>
        <w:jc w:val="both"/>
        <w:textAlignment w:val="auto"/>
        <w:rPr>
          <w:rFonts w:ascii="Arial" w:hAnsi="Arial"/>
        </w:rPr>
      </w:pPr>
      <w:r>
        <w:rPr>
          <w:rFonts w:ascii="Arial" w:hAnsi="Arial"/>
        </w:rPr>
        <w:t xml:space="preserve">Με την παρούσα Οικονομική Προσφορά καλύπτονται πλήρως όλες οι δαπάνες για την εκτέλεση του συνόλου των προμηθειών, εργασιών και υπηρεσιών που προδιαγράφονται στα συμβατικά τεύχη της δημοπρασίας και της προσφοράς του προμηθευτή. </w:t>
      </w:r>
    </w:p>
    <w:p w:rsidR="007A641C" w:rsidRDefault="007A641C" w:rsidP="007A641C">
      <w:pPr>
        <w:widowControl/>
        <w:numPr>
          <w:ilvl w:val="0"/>
          <w:numId w:val="1"/>
        </w:numPr>
        <w:suppressAutoHyphens w:val="0"/>
        <w:spacing w:after="0" w:line="360" w:lineRule="auto"/>
        <w:jc w:val="both"/>
        <w:textAlignment w:val="auto"/>
        <w:rPr>
          <w:rFonts w:ascii="Arial" w:hAnsi="Arial"/>
        </w:rPr>
      </w:pPr>
      <w:r>
        <w:rPr>
          <w:rFonts w:ascii="Arial" w:hAnsi="Arial"/>
        </w:rPr>
        <w:t xml:space="preserve">Οι τιμές προσφοράς δεν πρέπει να υπερβαίνουν τις τιμές στο ΤΙΜΟΛΟΓΙΟ ΜΕΛΕΤΗΣ. Σε αντίθετη περίπτωση η προσφορά απορρίπτεται. </w:t>
      </w:r>
    </w:p>
    <w:bookmarkEnd w:id="2"/>
    <w:tbl>
      <w:tblPr>
        <w:tblW w:w="9540" w:type="dxa"/>
        <w:tblInd w:w="93" w:type="dxa"/>
        <w:tblCellMar>
          <w:left w:w="10" w:type="dxa"/>
          <w:right w:w="10" w:type="dxa"/>
        </w:tblCellMar>
        <w:tblLook w:val="04A0" w:firstRow="1" w:lastRow="0" w:firstColumn="1" w:lastColumn="0" w:noHBand="0" w:noVBand="1"/>
      </w:tblPr>
      <w:tblGrid>
        <w:gridCol w:w="561"/>
        <w:gridCol w:w="5029"/>
        <w:gridCol w:w="1645"/>
        <w:gridCol w:w="694"/>
        <w:gridCol w:w="1611"/>
      </w:tblGrid>
      <w:tr w:rsidR="007A641C" w:rsidTr="00E137C1">
        <w:tblPrEx>
          <w:tblCellMar>
            <w:top w:w="0" w:type="dxa"/>
            <w:bottom w:w="0" w:type="dxa"/>
          </w:tblCellMar>
        </w:tblPrEx>
        <w:trPr>
          <w:trHeight w:val="375"/>
        </w:trPr>
        <w:tc>
          <w:tcPr>
            <w:tcW w:w="9540" w:type="dxa"/>
            <w:gridSpan w:val="5"/>
            <w:tcBorders>
              <w:bottom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8"/>
                <w:szCs w:val="28"/>
                <w:lang w:eastAsia="el-GR"/>
              </w:rPr>
            </w:pPr>
          </w:p>
        </w:tc>
      </w:tr>
      <w:tr w:rsidR="007A641C" w:rsidTr="00E137C1">
        <w:tblPrEx>
          <w:tblCellMar>
            <w:top w:w="0" w:type="dxa"/>
            <w:bottom w:w="0" w:type="dxa"/>
          </w:tblCellMar>
        </w:tblPrEx>
        <w:trPr>
          <w:trHeight w:val="464"/>
        </w:trPr>
        <w:tc>
          <w:tcPr>
            <w:tcW w:w="561"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A/A</w:t>
            </w:r>
          </w:p>
        </w:tc>
        <w:tc>
          <w:tcPr>
            <w:tcW w:w="5029"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ΠΕΡΙΓΡΑΦΗ</w:t>
            </w:r>
          </w:p>
        </w:tc>
        <w:tc>
          <w:tcPr>
            <w:tcW w:w="1645"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ΤΙΜΗ ΜΟΝ. (€)</w:t>
            </w:r>
          </w:p>
        </w:tc>
        <w:tc>
          <w:tcPr>
            <w:tcW w:w="694"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ΤΕΜ.</w:t>
            </w:r>
          </w:p>
        </w:tc>
        <w:tc>
          <w:tcPr>
            <w:tcW w:w="1611" w:type="dxa"/>
            <w:vMerge w:val="restart"/>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ΣΥΝΟΛΟ (€)</w:t>
            </w:r>
          </w:p>
        </w:tc>
      </w:tr>
      <w:tr w:rsidR="007A641C" w:rsidTr="00E137C1">
        <w:tblPrEx>
          <w:tblCellMar>
            <w:top w:w="0" w:type="dxa"/>
            <w:bottom w:w="0" w:type="dxa"/>
          </w:tblCellMar>
        </w:tblPrEx>
        <w:trPr>
          <w:trHeight w:val="481"/>
        </w:trPr>
        <w:tc>
          <w:tcPr>
            <w:tcW w:w="561"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b/>
                <w:bCs/>
                <w:color w:val="000000"/>
                <w:sz w:val="20"/>
                <w:szCs w:val="20"/>
                <w:lang w:eastAsia="el-GR"/>
              </w:rPr>
            </w:pPr>
          </w:p>
        </w:tc>
        <w:tc>
          <w:tcPr>
            <w:tcW w:w="5029"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b/>
                <w:bCs/>
                <w:color w:val="000000"/>
                <w:sz w:val="20"/>
                <w:szCs w:val="20"/>
                <w:lang w:eastAsia="el-GR"/>
              </w:rPr>
            </w:pPr>
          </w:p>
        </w:tc>
        <w:tc>
          <w:tcPr>
            <w:tcW w:w="1645"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b/>
                <w:bCs/>
                <w:color w:val="000000"/>
                <w:sz w:val="20"/>
                <w:szCs w:val="20"/>
                <w:lang w:eastAsia="el-GR"/>
              </w:rPr>
            </w:pPr>
          </w:p>
        </w:tc>
        <w:tc>
          <w:tcPr>
            <w:tcW w:w="694"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b/>
                <w:bCs/>
                <w:color w:val="000000"/>
                <w:sz w:val="20"/>
                <w:szCs w:val="20"/>
                <w:lang w:eastAsia="el-GR"/>
              </w:rPr>
            </w:pPr>
          </w:p>
        </w:tc>
        <w:tc>
          <w:tcPr>
            <w:tcW w:w="1611" w:type="dxa"/>
            <w:vMerge/>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b/>
                <w:bCs/>
                <w:color w:val="000000"/>
                <w:sz w:val="20"/>
                <w:szCs w:val="20"/>
                <w:lang w:eastAsia="el-GR"/>
              </w:rPr>
            </w:pPr>
          </w:p>
        </w:tc>
      </w:tr>
      <w:tr w:rsidR="007A641C" w:rsidTr="00E137C1">
        <w:tblPrEx>
          <w:tblCellMar>
            <w:top w:w="0" w:type="dxa"/>
            <w:bottom w:w="0" w:type="dxa"/>
          </w:tblCellMar>
        </w:tblPrEx>
        <w:trPr>
          <w:trHeight w:val="300"/>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1</w:t>
            </w:r>
          </w:p>
        </w:tc>
        <w:tc>
          <w:tcPr>
            <w:tcW w:w="5029"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r>
              <w:rPr>
                <w:rFonts w:ascii="Arial" w:hAnsi="Arial" w:cs="Arial"/>
                <w:color w:val="000000"/>
                <w:sz w:val="20"/>
                <w:szCs w:val="20"/>
                <w:lang w:eastAsia="el-GR"/>
              </w:rPr>
              <w:t xml:space="preserve">ΚΛΙΜΑΤΙΣΤΙΚΑ 24.000 </w:t>
            </w:r>
            <w:proofErr w:type="spellStart"/>
            <w:r>
              <w:rPr>
                <w:rFonts w:ascii="Arial" w:hAnsi="Arial" w:cs="Arial"/>
                <w:color w:val="000000"/>
                <w:sz w:val="20"/>
                <w:szCs w:val="20"/>
                <w:lang w:val="en-US" w:eastAsia="el-GR"/>
              </w:rPr>
              <w:t>btu</w:t>
            </w:r>
            <w:proofErr w:type="spellEnd"/>
          </w:p>
        </w:tc>
        <w:tc>
          <w:tcPr>
            <w:tcW w:w="1645"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c>
          <w:tcPr>
            <w:tcW w:w="69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color w:val="000000"/>
                <w:sz w:val="20"/>
                <w:szCs w:val="20"/>
                <w:lang w:eastAsia="el-GR"/>
              </w:rPr>
            </w:pPr>
            <w:r>
              <w:rPr>
                <w:rFonts w:ascii="Arial" w:hAnsi="Arial" w:cs="Arial"/>
                <w:color w:val="000000"/>
                <w:sz w:val="20"/>
                <w:szCs w:val="20"/>
                <w:lang w:eastAsia="el-GR"/>
              </w:rPr>
              <w:t>6</w:t>
            </w: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r>
      <w:tr w:rsidR="007A641C" w:rsidTr="00E137C1">
        <w:tblPrEx>
          <w:tblCellMar>
            <w:top w:w="0" w:type="dxa"/>
            <w:bottom w:w="0" w:type="dxa"/>
          </w:tblCellMar>
        </w:tblPrEx>
        <w:trPr>
          <w:trHeight w:val="525"/>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r>
              <w:rPr>
                <w:rFonts w:ascii="Arial" w:hAnsi="Arial" w:cs="Arial"/>
                <w:b/>
                <w:bCs/>
                <w:color w:val="000000"/>
                <w:sz w:val="20"/>
                <w:szCs w:val="20"/>
                <w:lang w:eastAsia="el-GR"/>
              </w:rPr>
              <w:t>2</w:t>
            </w:r>
          </w:p>
        </w:tc>
        <w:tc>
          <w:tcPr>
            <w:tcW w:w="5029"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r>
              <w:rPr>
                <w:rFonts w:ascii="Arial" w:hAnsi="Arial" w:cs="Arial"/>
                <w:color w:val="000000"/>
                <w:sz w:val="20"/>
                <w:szCs w:val="20"/>
                <w:lang w:eastAsia="el-GR"/>
              </w:rPr>
              <w:t xml:space="preserve">ΤΟΠΟΘΕΤΗΣΗ ΚΛΙΜΑΤΙΣΤΙΚΩΝ 24.000 </w:t>
            </w:r>
            <w:proofErr w:type="spellStart"/>
            <w:r>
              <w:rPr>
                <w:rFonts w:ascii="Arial" w:hAnsi="Arial" w:cs="Arial"/>
                <w:color w:val="000000"/>
                <w:sz w:val="20"/>
                <w:szCs w:val="20"/>
                <w:lang w:val="en-US" w:eastAsia="el-GR"/>
              </w:rPr>
              <w:t>btu</w:t>
            </w:r>
            <w:proofErr w:type="spellEnd"/>
          </w:p>
        </w:tc>
        <w:tc>
          <w:tcPr>
            <w:tcW w:w="1645"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c>
          <w:tcPr>
            <w:tcW w:w="69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color w:val="000000"/>
                <w:sz w:val="20"/>
                <w:szCs w:val="20"/>
                <w:lang w:eastAsia="el-GR"/>
              </w:rPr>
            </w:pPr>
            <w:r>
              <w:rPr>
                <w:rFonts w:ascii="Arial" w:hAnsi="Arial" w:cs="Arial"/>
                <w:color w:val="000000"/>
                <w:sz w:val="20"/>
                <w:szCs w:val="20"/>
                <w:lang w:eastAsia="el-GR"/>
              </w:rPr>
              <w:t>6</w:t>
            </w: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r>
      <w:tr w:rsidR="007A641C" w:rsidTr="00E137C1">
        <w:tblPrEx>
          <w:tblCellMar>
            <w:top w:w="0" w:type="dxa"/>
            <w:bottom w:w="0" w:type="dxa"/>
          </w:tblCellMar>
        </w:tblPrEx>
        <w:trPr>
          <w:trHeight w:val="300"/>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p>
        </w:tc>
        <w:tc>
          <w:tcPr>
            <w:tcW w:w="5029"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color w:val="000000"/>
                <w:sz w:val="20"/>
                <w:szCs w:val="20"/>
                <w:lang w:eastAsia="el-GR"/>
              </w:rPr>
            </w:pPr>
          </w:p>
        </w:tc>
        <w:tc>
          <w:tcPr>
            <w:tcW w:w="1645"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c>
          <w:tcPr>
            <w:tcW w:w="69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color w:val="000000"/>
                <w:sz w:val="20"/>
                <w:szCs w:val="20"/>
                <w:lang w:eastAsia="el-GR"/>
              </w:rPr>
            </w:pP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r>
      <w:tr w:rsidR="007A641C" w:rsidTr="00E137C1">
        <w:tblPrEx>
          <w:tblCellMar>
            <w:top w:w="0" w:type="dxa"/>
            <w:bottom w:w="0" w:type="dxa"/>
          </w:tblCellMar>
        </w:tblPrEx>
        <w:trPr>
          <w:trHeight w:val="300"/>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p>
        </w:tc>
        <w:tc>
          <w:tcPr>
            <w:tcW w:w="5029"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rPr>
                <w:rFonts w:ascii="Arial" w:hAnsi="Arial" w:cs="Arial"/>
                <w:color w:val="000000"/>
                <w:sz w:val="20"/>
                <w:szCs w:val="20"/>
                <w:lang w:eastAsia="el-GR"/>
              </w:rPr>
            </w:pPr>
          </w:p>
        </w:tc>
        <w:tc>
          <w:tcPr>
            <w:tcW w:w="1645"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c>
          <w:tcPr>
            <w:tcW w:w="694"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color w:val="000000"/>
                <w:sz w:val="20"/>
                <w:szCs w:val="20"/>
                <w:lang w:eastAsia="el-GR"/>
              </w:rPr>
            </w:pP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0"/>
              <w:jc w:val="right"/>
              <w:rPr>
                <w:rFonts w:ascii="Arial" w:hAnsi="Arial" w:cs="Arial"/>
                <w:color w:val="000000"/>
                <w:sz w:val="20"/>
                <w:szCs w:val="20"/>
                <w:lang w:eastAsia="el-GR"/>
              </w:rPr>
            </w:pPr>
          </w:p>
        </w:tc>
      </w:tr>
      <w:tr w:rsidR="007A641C" w:rsidTr="00E137C1">
        <w:tblPrEx>
          <w:tblCellMar>
            <w:top w:w="0" w:type="dxa"/>
            <w:bottom w:w="0" w:type="dxa"/>
          </w:tblCellMar>
        </w:tblPrEx>
        <w:trPr>
          <w:trHeight w:val="525"/>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p>
        </w:tc>
        <w:tc>
          <w:tcPr>
            <w:tcW w:w="7368" w:type="dxa"/>
            <w:gridSpan w:val="3"/>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color w:val="000000"/>
                <w:sz w:val="20"/>
                <w:szCs w:val="20"/>
                <w:lang w:eastAsia="el-GR"/>
              </w:rPr>
            </w:pPr>
            <w:r>
              <w:rPr>
                <w:rFonts w:ascii="Arial" w:hAnsi="Arial" w:cs="Arial"/>
                <w:b/>
                <w:color w:val="000000"/>
                <w:sz w:val="20"/>
                <w:szCs w:val="20"/>
                <w:lang w:eastAsia="el-GR"/>
              </w:rPr>
              <w:t xml:space="preserve">ΣΥΝΟΛΟ </w:t>
            </w: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1"/>
              <w:jc w:val="right"/>
              <w:rPr>
                <w:rFonts w:ascii="Arial" w:hAnsi="Arial" w:cs="Arial"/>
                <w:b/>
                <w:color w:val="000000"/>
                <w:sz w:val="20"/>
                <w:szCs w:val="20"/>
                <w:lang w:eastAsia="el-GR"/>
              </w:rPr>
            </w:pPr>
          </w:p>
        </w:tc>
      </w:tr>
      <w:tr w:rsidR="007A641C" w:rsidTr="00E137C1">
        <w:tblPrEx>
          <w:tblCellMar>
            <w:top w:w="0" w:type="dxa"/>
            <w:bottom w:w="0" w:type="dxa"/>
          </w:tblCellMar>
        </w:tblPrEx>
        <w:trPr>
          <w:trHeight w:val="525"/>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p>
        </w:tc>
        <w:tc>
          <w:tcPr>
            <w:tcW w:w="7368" w:type="dxa"/>
            <w:gridSpan w:val="3"/>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color w:val="000000"/>
                <w:sz w:val="20"/>
                <w:szCs w:val="20"/>
                <w:lang w:eastAsia="el-GR"/>
              </w:rPr>
            </w:pPr>
            <w:r>
              <w:rPr>
                <w:rFonts w:ascii="Arial" w:hAnsi="Arial" w:cs="Arial"/>
                <w:b/>
                <w:color w:val="000000"/>
                <w:sz w:val="20"/>
                <w:szCs w:val="20"/>
                <w:lang w:eastAsia="el-GR"/>
              </w:rPr>
              <w:t>ΦΠΑ 24%</w:t>
            </w: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1"/>
              <w:jc w:val="right"/>
              <w:rPr>
                <w:rFonts w:ascii="Arial" w:hAnsi="Arial" w:cs="Arial"/>
                <w:b/>
                <w:color w:val="000000"/>
                <w:sz w:val="20"/>
                <w:szCs w:val="20"/>
                <w:lang w:eastAsia="el-GR"/>
              </w:rPr>
            </w:pPr>
          </w:p>
        </w:tc>
      </w:tr>
      <w:tr w:rsidR="007A641C" w:rsidTr="00E137C1">
        <w:tblPrEx>
          <w:tblCellMar>
            <w:top w:w="0" w:type="dxa"/>
            <w:bottom w:w="0" w:type="dxa"/>
          </w:tblCellMar>
        </w:tblPrEx>
        <w:trPr>
          <w:trHeight w:val="525"/>
        </w:trPr>
        <w:tc>
          <w:tcPr>
            <w:tcW w:w="5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bCs/>
                <w:color w:val="000000"/>
                <w:sz w:val="20"/>
                <w:szCs w:val="20"/>
                <w:lang w:eastAsia="el-GR"/>
              </w:rPr>
            </w:pPr>
          </w:p>
        </w:tc>
        <w:tc>
          <w:tcPr>
            <w:tcW w:w="7368" w:type="dxa"/>
            <w:gridSpan w:val="3"/>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jc w:val="center"/>
              <w:rPr>
                <w:rFonts w:ascii="Arial" w:hAnsi="Arial" w:cs="Arial"/>
                <w:b/>
                <w:color w:val="000000"/>
                <w:sz w:val="20"/>
                <w:szCs w:val="20"/>
                <w:lang w:eastAsia="el-GR"/>
              </w:rPr>
            </w:pPr>
            <w:r>
              <w:rPr>
                <w:rFonts w:ascii="Arial" w:hAnsi="Arial" w:cs="Arial"/>
                <w:b/>
                <w:color w:val="000000"/>
                <w:sz w:val="20"/>
                <w:szCs w:val="20"/>
                <w:lang w:eastAsia="el-GR"/>
              </w:rPr>
              <w:t>ΓΕΝΙΚΟ ΣΥΝΟΛΟ ΠΡΟΣΦΟΡΑΣ</w:t>
            </w:r>
          </w:p>
        </w:tc>
        <w:tc>
          <w:tcPr>
            <w:tcW w:w="1611"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rsidR="007A641C" w:rsidRDefault="007A641C" w:rsidP="00E137C1">
            <w:pPr>
              <w:ind w:firstLine="201"/>
              <w:jc w:val="right"/>
              <w:rPr>
                <w:rFonts w:ascii="Arial" w:hAnsi="Arial" w:cs="Arial"/>
                <w:b/>
                <w:color w:val="000000"/>
                <w:sz w:val="20"/>
                <w:szCs w:val="20"/>
                <w:lang w:eastAsia="el-GR"/>
              </w:rPr>
            </w:pPr>
          </w:p>
        </w:tc>
      </w:tr>
    </w:tbl>
    <w:p w:rsidR="007A641C" w:rsidRDefault="007A641C" w:rsidP="007A641C">
      <w:pPr>
        <w:tabs>
          <w:tab w:val="left" w:pos="4080"/>
        </w:tabs>
        <w:spacing w:before="120" w:line="360" w:lineRule="auto"/>
      </w:pPr>
    </w:p>
    <w:p w:rsidR="007A641C" w:rsidRDefault="007A641C" w:rsidP="007A641C">
      <w:pPr>
        <w:spacing w:after="240"/>
        <w:ind w:right="-8"/>
        <w:jc w:val="center"/>
        <w:rPr>
          <w:rFonts w:cs="Calibri"/>
          <w:b/>
        </w:rPr>
      </w:pPr>
      <w:r>
        <w:rPr>
          <w:rFonts w:cs="Calibri"/>
          <w:b/>
        </w:rPr>
        <w:t>Ο Προσφέρων</w:t>
      </w:r>
    </w:p>
    <w:p w:rsidR="007A641C" w:rsidRDefault="007A641C" w:rsidP="007A641C">
      <w:pPr>
        <w:spacing w:after="240"/>
        <w:ind w:right="-8"/>
        <w:jc w:val="center"/>
        <w:rPr>
          <w:rFonts w:cs="Calibri"/>
          <w:b/>
          <w:u w:val="single"/>
        </w:rPr>
      </w:pPr>
    </w:p>
    <w:p w:rsidR="004F05A3" w:rsidRDefault="007A641C"/>
    <w:sectPr w:rsidR="004F05A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952154"/>
    <w:multiLevelType w:val="multilevel"/>
    <w:tmpl w:val="AD16BF76"/>
    <w:lvl w:ilvl="0">
      <w:start w:val="2"/>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41C"/>
    <w:rsid w:val="005C7781"/>
    <w:rsid w:val="007A641C"/>
    <w:rsid w:val="00BC55E5"/>
    <w:rsid w:val="00C57F32"/>
    <w:rsid w:val="00DA371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289F07-9BEB-4840-B6F9-0FAF7A7D2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A641C"/>
    <w:pPr>
      <w:widowControl w:val="0"/>
      <w:suppressAutoHyphens/>
      <w:autoSpaceDN w:val="0"/>
      <w:spacing w:after="200" w:line="276" w:lineRule="auto"/>
      <w:textAlignment w:val="baseline"/>
    </w:pPr>
    <w:rPr>
      <w:rFonts w:ascii="Calibri" w:eastAsia="SimSun" w:hAnsi="Calibri" w:cs="F"/>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ΒΑΣΙΚΟ"/>
    <w:basedOn w:val="a4"/>
    <w:link w:val="Char"/>
    <w:autoRedefine/>
    <w:qFormat/>
    <w:rsid w:val="005C7781"/>
    <w:pPr>
      <w:widowControl w:val="0"/>
      <w:suppressAutoHyphens/>
      <w:autoSpaceDN w:val="0"/>
      <w:textAlignment w:val="baseline"/>
    </w:pPr>
  </w:style>
  <w:style w:type="character" w:customStyle="1" w:styleId="Char">
    <w:name w:val="ΒΑΣΙΚΟ Char"/>
    <w:basedOn w:val="a0"/>
    <w:link w:val="a3"/>
    <w:rsid w:val="005C7781"/>
    <w:rPr>
      <w:rFonts w:ascii="Times New Roman" w:hAnsi="Times New Roman"/>
      <w:sz w:val="24"/>
    </w:rPr>
  </w:style>
  <w:style w:type="paragraph" w:styleId="a4">
    <w:name w:val="No Spacing"/>
    <w:uiPriority w:val="1"/>
    <w:qFormat/>
    <w:rsid w:val="005C7781"/>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148</Words>
  <Characters>804</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Christos Chios</dc:creator>
  <cp:keywords/>
  <dc:description/>
  <cp:lastModifiedBy>Christos Chios</cp:lastModifiedBy>
  <cp:revision>1</cp:revision>
  <dcterms:created xsi:type="dcterms:W3CDTF">2020-06-24T12:12:00Z</dcterms:created>
  <dcterms:modified xsi:type="dcterms:W3CDTF">2020-06-24T12:13:00Z</dcterms:modified>
</cp:coreProperties>
</file>